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rPr>
          <w:b w:val="1"/>
          <w:sz w:val="40"/>
          <w:szCs w:val="40"/>
        </w:rPr>
      </w:pPr>
      <w:r w:rsidDel="00000000" w:rsidR="00000000" w:rsidRPr="00000000">
        <w:rPr>
          <w:b w:val="1"/>
          <w:sz w:val="40"/>
          <w:szCs w:val="40"/>
        </w:rPr>
        <w:drawing>
          <wp:anchor allowOverlap="1" behindDoc="0" distB="114300" distT="114300" distL="114300" distR="114300" hidden="0" layoutInCell="1" locked="0" relativeHeight="0" simplePos="0">
            <wp:simplePos x="0" y="0"/>
            <wp:positionH relativeFrom="margin">
              <wp:posOffset>-719999</wp:posOffset>
            </wp:positionH>
            <wp:positionV relativeFrom="margin">
              <wp:posOffset>-719999</wp:posOffset>
            </wp:positionV>
            <wp:extent cx="7560000" cy="10697094"/>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560000" cy="10697094"/>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jc w:val="both"/>
        <w:rPr/>
      </w:pPr>
      <w:r w:rsidDel="00000000" w:rsidR="00000000" w:rsidRPr="00000000">
        <w:rPr>
          <w:rtl w:val="0"/>
        </w:rPr>
        <w:t xml:space="preserve">En cumplimiento de la Ley 19/2013, de 9 de diciembre, de transparencia, acceso a la información</w:t>
      </w:r>
    </w:p>
    <w:p w:rsidR="00000000" w:rsidDel="00000000" w:rsidP="00000000" w:rsidRDefault="00000000" w:rsidRPr="00000000" w14:paraId="00000004">
      <w:pPr>
        <w:jc w:val="both"/>
        <w:rPr/>
      </w:pPr>
      <w:r w:rsidDel="00000000" w:rsidR="00000000" w:rsidRPr="00000000">
        <w:rPr>
          <w:rtl w:val="0"/>
        </w:rPr>
        <w:t xml:space="preserve">pública y buen gobierno, la Ley 12/2014, de 16 de diciembre, de Transparencia y Participación Ciudadana de la Comunidad Autónoma de la Región de Murcia, la Ley 38/2003, de 17 de noviembre, General de Subvenciones y demás disposiciones vigente y siguiendo las recomendaciones de la Plataforma de ONG de Acción Social, Plataforma del Tercer Sector, etc. Se publican en este documento la relación de subvenciones percibidas por la Federación Murciana de Asociaciones de Estudiantes junto con el órgano convocante, la convocatoria de concesión y el importe.</w:t>
      </w:r>
    </w:p>
    <w:p w:rsidR="00000000" w:rsidDel="00000000" w:rsidP="00000000" w:rsidRDefault="00000000" w:rsidRPr="00000000" w14:paraId="00000005">
      <w:pPr>
        <w:jc w:val="both"/>
        <w:rPr/>
      </w:pPr>
      <w:r w:rsidDel="00000000" w:rsidR="00000000" w:rsidRPr="00000000">
        <w:rPr>
          <w:rtl w:val="0"/>
        </w:rPr>
        <w:t xml:space="preserve">Así mismo, le recordamos que dispone de más información sobre este asunto en la página web de la Base de Datos Nacional de Subvenciones (</w:t>
      </w:r>
      <w:hyperlink r:id="rId7">
        <w:r w:rsidDel="00000000" w:rsidR="00000000" w:rsidRPr="00000000">
          <w:rPr>
            <w:color w:val="1155cc"/>
            <w:u w:val="single"/>
            <w:rtl w:val="0"/>
          </w:rPr>
          <w:t xml:space="preserve">www.infosubvenciones.es</w:t>
        </w:r>
      </w:hyperlink>
      <w:r w:rsidDel="00000000" w:rsidR="00000000" w:rsidRPr="00000000">
        <w:rPr>
          <w:rtl w:val="0"/>
        </w:rPr>
        <w:t xml:space="preserve">).</w:t>
      </w:r>
    </w:p>
    <w:p w:rsidR="00000000" w:rsidDel="00000000" w:rsidP="00000000" w:rsidRDefault="00000000" w:rsidRPr="00000000" w14:paraId="00000006">
      <w:pPr>
        <w:jc w:val="both"/>
        <w:rPr/>
      </w:pPr>
      <w:r w:rsidDel="00000000" w:rsidR="00000000" w:rsidRPr="00000000">
        <w:rPr>
          <w:rtl w:val="0"/>
        </w:rPr>
      </w:r>
    </w:p>
    <w:tbl>
      <w:tblPr>
        <w:tblStyle w:val="Table1"/>
        <w:tblW w:w="92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0"/>
        <w:gridCol w:w="2835"/>
        <w:gridCol w:w="3885"/>
        <w:gridCol w:w="1500"/>
        <w:tblGridChange w:id="0">
          <w:tblGrid>
            <w:gridCol w:w="1050"/>
            <w:gridCol w:w="2835"/>
            <w:gridCol w:w="3885"/>
            <w:gridCol w:w="1500"/>
          </w:tblGrid>
        </w:tblGridChange>
      </w:tblGrid>
      <w:tr>
        <w:trPr>
          <w:cantSplit w:val="0"/>
          <w:trHeight w:val="315" w:hRule="atLeast"/>
          <w:tblHeader w:val="0"/>
        </w:trPr>
        <w:tc>
          <w:tcPr>
            <w:gridSpan w:val="4"/>
            <w:tcBorders>
              <w:top w:color="cccccc" w:space="0" w:sz="5" w:val="single"/>
              <w:left w:color="cccccc" w:space="0" w:sz="5" w:val="single"/>
              <w:bottom w:color="cccccc" w:space="0" w:sz="5" w:val="single"/>
              <w:right w:color="cccccc" w:space="0" w:sz="5" w:val="single"/>
            </w:tcBorders>
            <w:shd w:fill="666666" w:val="clear"/>
            <w:tcMar>
              <w:top w:w="40.0" w:type="dxa"/>
              <w:left w:w="40.0" w:type="dxa"/>
              <w:bottom w:w="40.0" w:type="dxa"/>
              <w:right w:w="40.0" w:type="dxa"/>
            </w:tcMar>
            <w:vAlign w:val="center"/>
          </w:tcPr>
          <w:p w:rsidR="00000000" w:rsidDel="00000000" w:rsidP="00000000" w:rsidRDefault="00000000" w:rsidRPr="00000000" w14:paraId="00000007">
            <w:pPr>
              <w:widowControl w:val="0"/>
              <w:jc w:val="center"/>
              <w:rPr>
                <w:sz w:val="20"/>
                <w:szCs w:val="20"/>
              </w:rPr>
            </w:pPr>
            <w:r w:rsidDel="00000000" w:rsidR="00000000" w:rsidRPr="00000000">
              <w:rPr>
                <w:b w:val="1"/>
                <w:color w:val="ffffff"/>
                <w:sz w:val="18"/>
                <w:szCs w:val="18"/>
                <w:rtl w:val="0"/>
              </w:rPr>
              <w:t xml:space="preserve">ACTUALIZADO: 15/11/2023</w:t>
            </w: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shd w:fill="666666" w:val="clear"/>
            <w:tcMar>
              <w:top w:w="40.0" w:type="dxa"/>
              <w:left w:w="40.0" w:type="dxa"/>
              <w:bottom w:w="40.0" w:type="dxa"/>
              <w:right w:w="40.0" w:type="dxa"/>
            </w:tcMar>
            <w:vAlign w:val="center"/>
          </w:tcPr>
          <w:p w:rsidR="00000000" w:rsidDel="00000000" w:rsidP="00000000" w:rsidRDefault="00000000" w:rsidRPr="00000000" w14:paraId="0000000B">
            <w:pPr>
              <w:widowControl w:val="0"/>
              <w:jc w:val="center"/>
              <w:rPr>
                <w:sz w:val="20"/>
                <w:szCs w:val="20"/>
              </w:rPr>
            </w:pPr>
            <w:r w:rsidDel="00000000" w:rsidR="00000000" w:rsidRPr="00000000">
              <w:rPr>
                <w:b w:val="1"/>
                <w:color w:val="ffffff"/>
                <w:sz w:val="20"/>
                <w:szCs w:val="20"/>
                <w:rtl w:val="0"/>
              </w:rPr>
              <w:t xml:space="preserve">Año</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666666" w:val="clear"/>
            <w:tcMar>
              <w:top w:w="40.0" w:type="dxa"/>
              <w:left w:w="40.0" w:type="dxa"/>
              <w:bottom w:w="40.0" w:type="dxa"/>
              <w:right w:w="40.0" w:type="dxa"/>
            </w:tcMar>
            <w:vAlign w:val="center"/>
          </w:tcPr>
          <w:p w:rsidR="00000000" w:rsidDel="00000000" w:rsidP="00000000" w:rsidRDefault="00000000" w:rsidRPr="00000000" w14:paraId="0000000C">
            <w:pPr>
              <w:widowControl w:val="0"/>
              <w:jc w:val="center"/>
              <w:rPr>
                <w:sz w:val="20"/>
                <w:szCs w:val="20"/>
              </w:rPr>
            </w:pPr>
            <w:r w:rsidDel="00000000" w:rsidR="00000000" w:rsidRPr="00000000">
              <w:rPr>
                <w:b w:val="1"/>
                <w:color w:val="ffffff"/>
                <w:sz w:val="20"/>
                <w:szCs w:val="20"/>
                <w:rtl w:val="0"/>
              </w:rPr>
              <w:t xml:space="preserve">Órgano Convocante</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666666" w:val="clear"/>
            <w:tcMar>
              <w:top w:w="40.0" w:type="dxa"/>
              <w:left w:w="40.0" w:type="dxa"/>
              <w:bottom w:w="40.0" w:type="dxa"/>
              <w:right w:w="40.0" w:type="dxa"/>
            </w:tcMar>
            <w:vAlign w:val="center"/>
          </w:tcPr>
          <w:p w:rsidR="00000000" w:rsidDel="00000000" w:rsidP="00000000" w:rsidRDefault="00000000" w:rsidRPr="00000000" w14:paraId="0000000D">
            <w:pPr>
              <w:widowControl w:val="0"/>
              <w:jc w:val="center"/>
              <w:rPr>
                <w:sz w:val="20"/>
                <w:szCs w:val="20"/>
              </w:rPr>
            </w:pPr>
            <w:r w:rsidDel="00000000" w:rsidR="00000000" w:rsidRPr="00000000">
              <w:rPr>
                <w:b w:val="1"/>
                <w:color w:val="ffffff"/>
                <w:sz w:val="20"/>
                <w:szCs w:val="20"/>
                <w:rtl w:val="0"/>
              </w:rPr>
              <w:t xml:space="preserve">Convocatoria (finalidad)</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666666" w:val="clear"/>
            <w:tcMar>
              <w:top w:w="40.0" w:type="dxa"/>
              <w:left w:w="40.0" w:type="dxa"/>
              <w:bottom w:w="40.0" w:type="dxa"/>
              <w:right w:w="40.0" w:type="dxa"/>
            </w:tcMar>
            <w:vAlign w:val="center"/>
          </w:tcPr>
          <w:p w:rsidR="00000000" w:rsidDel="00000000" w:rsidP="00000000" w:rsidRDefault="00000000" w:rsidRPr="00000000" w14:paraId="0000000E">
            <w:pPr>
              <w:widowControl w:val="0"/>
              <w:jc w:val="center"/>
              <w:rPr>
                <w:sz w:val="20"/>
                <w:szCs w:val="20"/>
              </w:rPr>
            </w:pPr>
            <w:r w:rsidDel="00000000" w:rsidR="00000000" w:rsidRPr="00000000">
              <w:rPr>
                <w:b w:val="1"/>
                <w:color w:val="ffffff"/>
                <w:sz w:val="20"/>
                <w:szCs w:val="20"/>
                <w:rtl w:val="0"/>
              </w:rPr>
              <w:t xml:space="preserve">Importe</w:t>
            </w:r>
            <w:r w:rsidDel="00000000" w:rsidR="00000000" w:rsidRPr="00000000">
              <w:rPr>
                <w:rtl w:val="0"/>
              </w:rPr>
            </w:r>
          </w:p>
        </w:tc>
      </w:tr>
      <w:tr>
        <w:trPr>
          <w:cantSplit w:val="0"/>
          <w:trHeight w:val="750"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0F">
            <w:pPr>
              <w:widowControl w:val="0"/>
              <w:jc w:val="center"/>
              <w:rPr>
                <w:sz w:val="20"/>
                <w:szCs w:val="20"/>
              </w:rPr>
            </w:pPr>
            <w:r w:rsidDel="00000000" w:rsidR="00000000" w:rsidRPr="00000000">
              <w:rPr>
                <w:sz w:val="20"/>
                <w:szCs w:val="20"/>
                <w:rtl w:val="0"/>
              </w:rPr>
              <w:t xml:space="preserve">2023</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10">
            <w:pPr>
              <w:widowControl w:val="0"/>
              <w:jc w:val="center"/>
              <w:rPr>
                <w:sz w:val="20"/>
                <w:szCs w:val="20"/>
              </w:rPr>
            </w:pPr>
            <w:r w:rsidDel="00000000" w:rsidR="00000000" w:rsidRPr="00000000">
              <w:rPr>
                <w:sz w:val="20"/>
                <w:szCs w:val="20"/>
                <w:rtl w:val="0"/>
              </w:rPr>
              <w:t xml:space="preserve">Ayuntamiento de Murcia</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11">
            <w:pPr>
              <w:widowControl w:val="0"/>
              <w:jc w:val="center"/>
              <w:rPr>
                <w:sz w:val="20"/>
                <w:szCs w:val="20"/>
              </w:rPr>
            </w:pPr>
            <w:r w:rsidDel="00000000" w:rsidR="00000000" w:rsidRPr="00000000">
              <w:rPr>
                <w:sz w:val="20"/>
                <w:szCs w:val="20"/>
                <w:rtl w:val="0"/>
              </w:rPr>
              <w:t xml:space="preserve">Subvenciones para el fomento de la participación juvenil en el municipio de Murcia 2023/2024</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12">
            <w:pPr>
              <w:widowControl w:val="0"/>
              <w:jc w:val="center"/>
              <w:rPr>
                <w:sz w:val="20"/>
                <w:szCs w:val="20"/>
              </w:rPr>
            </w:pPr>
            <w:r w:rsidDel="00000000" w:rsidR="00000000" w:rsidRPr="00000000">
              <w:rPr>
                <w:sz w:val="20"/>
                <w:szCs w:val="20"/>
                <w:rtl w:val="0"/>
              </w:rPr>
              <w:t xml:space="preserve">2.060,00€</w:t>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13">
            <w:pPr>
              <w:widowControl w:val="0"/>
              <w:jc w:val="center"/>
              <w:rPr>
                <w:sz w:val="20"/>
                <w:szCs w:val="20"/>
              </w:rPr>
            </w:pPr>
            <w:r w:rsidDel="00000000" w:rsidR="00000000" w:rsidRPr="00000000">
              <w:rPr>
                <w:sz w:val="20"/>
                <w:szCs w:val="20"/>
                <w:rtl w:val="0"/>
              </w:rPr>
              <w:t xml:space="preserve">2024</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14">
            <w:pPr>
              <w:widowControl w:val="0"/>
              <w:jc w:val="center"/>
              <w:rPr>
                <w:sz w:val="20"/>
                <w:szCs w:val="20"/>
              </w:rPr>
            </w:pPr>
            <w:r w:rsidDel="00000000" w:rsidR="00000000" w:rsidRPr="00000000">
              <w:rPr>
                <w:sz w:val="20"/>
                <w:szCs w:val="20"/>
                <w:rtl w:val="0"/>
              </w:rPr>
              <w:t xml:space="preserve">Agencia Nacional Española Erasmus+ - Instituto de la Juventud (INJUVE)</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15">
            <w:pPr>
              <w:widowControl w:val="0"/>
              <w:jc w:val="center"/>
              <w:rPr>
                <w:sz w:val="20"/>
                <w:szCs w:val="20"/>
              </w:rPr>
            </w:pPr>
            <w:r w:rsidDel="00000000" w:rsidR="00000000" w:rsidRPr="00000000">
              <w:rPr>
                <w:sz w:val="20"/>
                <w:szCs w:val="20"/>
                <w:rtl w:val="0"/>
              </w:rPr>
              <w:t xml:space="preserve">Ayudas para la realización de actividades</w:t>
            </w:r>
          </w:p>
          <w:p w:rsidR="00000000" w:rsidDel="00000000" w:rsidP="00000000" w:rsidRDefault="00000000" w:rsidRPr="00000000" w14:paraId="00000016">
            <w:pPr>
              <w:widowControl w:val="0"/>
              <w:jc w:val="center"/>
              <w:rPr>
                <w:sz w:val="20"/>
                <w:szCs w:val="20"/>
              </w:rPr>
            </w:pPr>
            <w:r w:rsidDel="00000000" w:rsidR="00000000" w:rsidRPr="00000000">
              <w:rPr>
                <w:sz w:val="20"/>
                <w:szCs w:val="20"/>
                <w:rtl w:val="0"/>
              </w:rPr>
              <w:t xml:space="preserve">financiadas por la Comisión Europea en el capítulo de Juventud del Programa</w:t>
            </w:r>
          </w:p>
          <w:p w:rsidR="00000000" w:rsidDel="00000000" w:rsidP="00000000" w:rsidRDefault="00000000" w:rsidRPr="00000000" w14:paraId="00000017">
            <w:pPr>
              <w:widowControl w:val="0"/>
              <w:jc w:val="center"/>
              <w:rPr>
                <w:sz w:val="20"/>
                <w:szCs w:val="20"/>
              </w:rPr>
            </w:pPr>
            <w:r w:rsidDel="00000000" w:rsidR="00000000" w:rsidRPr="00000000">
              <w:rPr>
                <w:sz w:val="20"/>
                <w:szCs w:val="20"/>
                <w:rtl w:val="0"/>
              </w:rPr>
              <w:t xml:space="preserve">«Erasmus+» durante 2024. Financiación del proyecto "Estudiantes por la Participación (SuperEstudiantes)"</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18">
            <w:pPr>
              <w:widowControl w:val="0"/>
              <w:jc w:val="center"/>
              <w:rPr>
                <w:sz w:val="20"/>
                <w:szCs w:val="20"/>
              </w:rPr>
            </w:pPr>
            <w:r w:rsidDel="00000000" w:rsidR="00000000" w:rsidRPr="00000000">
              <w:rPr>
                <w:sz w:val="20"/>
                <w:szCs w:val="20"/>
                <w:rtl w:val="0"/>
              </w:rPr>
              <w:t xml:space="preserve">30.800,00€</w:t>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19">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1A">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1B">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1C">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1D">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1E">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1F">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20">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21">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22">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23">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24">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25">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26">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27">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28">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29">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2A">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2B">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2C">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2D">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2E">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2F">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30">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31">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32">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33">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34">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35">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36">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37">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38">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39">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3A">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3B">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3C">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3D">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3E">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3F">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40">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41">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42">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43">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44">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45">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46">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47">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48">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49">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4A">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4B">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4C">
            <w:pPr>
              <w:widowControl w:val="0"/>
              <w:rPr>
                <w:sz w:val="20"/>
                <w:szCs w:val="20"/>
              </w:rPr>
            </w:pPr>
            <w:r w:rsidDel="00000000" w:rsidR="00000000" w:rsidRPr="00000000">
              <w:rPr>
                <w:rtl w:val="0"/>
              </w:rPr>
            </w:r>
          </w:p>
        </w:tc>
      </w:tr>
    </w:tbl>
    <w:p w:rsidR="00000000" w:rsidDel="00000000" w:rsidP="00000000" w:rsidRDefault="00000000" w:rsidRPr="00000000" w14:paraId="0000004D">
      <w:pPr>
        <w:jc w:val="both"/>
        <w:rPr/>
      </w:pP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133.8582677165355" w:top="1133.8582677165355" w:left="1133.8582677165355" w:right="1133.8582677165355"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0">
    <w:pPr>
      <w:pageBreakBefore w:val="0"/>
      <w:spacing w:line="240" w:lineRule="auto"/>
      <w:jc w:val="left"/>
      <w:rPr>
        <w:rFonts w:ascii="Montserrat" w:cs="Montserrat" w:eastAsia="Montserrat" w:hAnsi="Montserrat"/>
        <w:sz w:val="20"/>
        <w:szCs w:val="20"/>
      </w:rPr>
    </w:pPr>
    <w:r w:rsidDel="00000000" w:rsidR="00000000" w:rsidRPr="00000000">
      <w:rPr>
        <w:rtl w:val="0"/>
      </w:rPr>
    </w:r>
  </w:p>
  <w:tbl>
    <w:tblPr>
      <w:tblStyle w:val="Table2"/>
      <w:tblW w:w="9630.0" w:type="dxa"/>
      <w:jc w:val="left"/>
      <w:tblLayout w:type="fixed"/>
      <w:tblLook w:val="0600"/>
    </w:tblPr>
    <w:tblGrid>
      <w:gridCol w:w="2790"/>
      <w:gridCol w:w="1950"/>
      <w:gridCol w:w="2880"/>
      <w:gridCol w:w="2010"/>
      <w:tblGridChange w:id="0">
        <w:tblGrid>
          <w:gridCol w:w="2790"/>
          <w:gridCol w:w="1950"/>
          <w:gridCol w:w="2880"/>
          <w:gridCol w:w="201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051">
          <w:pPr>
            <w:pageBreakBefore w:val="0"/>
            <w:spacing w:line="276" w:lineRule="auto"/>
            <w:rPr>
              <w:color w:val="666666"/>
              <w:sz w:val="16"/>
              <w:szCs w:val="16"/>
            </w:rPr>
          </w:pPr>
          <w:r w:rsidDel="00000000" w:rsidR="00000000" w:rsidRPr="00000000">
            <w:rPr>
              <w:color w:val="666666"/>
              <w:sz w:val="16"/>
              <w:szCs w:val="16"/>
              <w:rtl w:val="0"/>
            </w:rPr>
            <w:t xml:space="preserve">Federación Murciana de</w:t>
          </w:r>
        </w:p>
        <w:p w:rsidR="00000000" w:rsidDel="00000000" w:rsidP="00000000" w:rsidRDefault="00000000" w:rsidRPr="00000000" w14:paraId="00000052">
          <w:pPr>
            <w:pageBreakBefore w:val="0"/>
            <w:spacing w:line="276" w:lineRule="auto"/>
            <w:rPr>
              <w:color w:val="666666"/>
              <w:sz w:val="16"/>
              <w:szCs w:val="16"/>
            </w:rPr>
          </w:pPr>
          <w:r w:rsidDel="00000000" w:rsidR="00000000" w:rsidRPr="00000000">
            <w:rPr>
              <w:color w:val="666666"/>
              <w:sz w:val="16"/>
              <w:szCs w:val="16"/>
              <w:rtl w:val="0"/>
            </w:rPr>
            <w:t xml:space="preserve">Asociaciones de Estudiantes</w:t>
          </w:r>
        </w:p>
        <w:p w:rsidR="00000000" w:rsidDel="00000000" w:rsidP="00000000" w:rsidRDefault="00000000" w:rsidRPr="00000000" w14:paraId="00000053">
          <w:pPr>
            <w:pageBreakBefore w:val="0"/>
            <w:spacing w:line="276" w:lineRule="auto"/>
            <w:rPr>
              <w:color w:val="666666"/>
              <w:sz w:val="16"/>
              <w:szCs w:val="16"/>
            </w:rPr>
          </w:pPr>
          <w:r w:rsidDel="00000000" w:rsidR="00000000" w:rsidRPr="00000000">
            <w:rPr>
              <w:color w:val="666666"/>
              <w:sz w:val="16"/>
              <w:szCs w:val="16"/>
              <w:rtl w:val="0"/>
            </w:rPr>
            <w:t xml:space="preserve">FEMAE </w:t>
          </w:r>
          <w:r w:rsidDel="00000000" w:rsidR="00000000" w:rsidRPr="00000000">
            <w:rPr>
              <w:color w:val="666666"/>
              <w:sz w:val="16"/>
              <w:szCs w:val="16"/>
              <w:rtl w:val="0"/>
            </w:rPr>
            <w:t xml:space="preserve">–</w:t>
          </w:r>
          <w:r w:rsidDel="00000000" w:rsidR="00000000" w:rsidRPr="00000000">
            <w:rPr>
              <w:color w:val="666666"/>
              <w:sz w:val="16"/>
              <w:szCs w:val="16"/>
              <w:rtl w:val="0"/>
            </w:rPr>
            <w:t xml:space="preserve"> NIF G30578975</w:t>
          </w:r>
        </w:p>
        <w:p w:rsidR="00000000" w:rsidDel="00000000" w:rsidP="00000000" w:rsidRDefault="00000000" w:rsidRPr="00000000" w14:paraId="00000054">
          <w:pPr>
            <w:pageBreakBefore w:val="0"/>
            <w:spacing w:line="276" w:lineRule="auto"/>
            <w:rPr>
              <w:color w:val="666666"/>
              <w:sz w:val="16"/>
              <w:szCs w:val="16"/>
            </w:rPr>
          </w:pPr>
          <w:r w:rsidDel="00000000" w:rsidR="00000000" w:rsidRPr="00000000">
            <w:rPr>
              <w:color w:val="666666"/>
              <w:sz w:val="16"/>
              <w:szCs w:val="16"/>
              <w:rtl w:val="0"/>
            </w:rPr>
            <w:t xml:space="preserve">Reg. Asoc. CARM Nº 125/2ª</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055">
          <w:pPr>
            <w:pageBreakBefore w:val="0"/>
            <w:spacing w:line="276" w:lineRule="auto"/>
            <w:rPr>
              <w:color w:val="666666"/>
              <w:sz w:val="16"/>
              <w:szCs w:val="16"/>
            </w:rPr>
          </w:pPr>
          <w:r w:rsidDel="00000000" w:rsidR="00000000" w:rsidRPr="00000000">
            <w:rPr>
              <w:color w:val="666666"/>
              <w:sz w:val="16"/>
              <w:szCs w:val="16"/>
              <w:rtl w:val="0"/>
            </w:rPr>
            <w:t xml:space="preserve">www.femae.org</w:t>
          </w:r>
        </w:p>
        <w:p w:rsidR="00000000" w:rsidDel="00000000" w:rsidP="00000000" w:rsidRDefault="00000000" w:rsidRPr="00000000" w14:paraId="00000056">
          <w:pPr>
            <w:pageBreakBefore w:val="0"/>
            <w:spacing w:line="276" w:lineRule="auto"/>
            <w:rPr>
              <w:color w:val="666666"/>
              <w:sz w:val="16"/>
              <w:szCs w:val="16"/>
            </w:rPr>
          </w:pPr>
          <w:r w:rsidDel="00000000" w:rsidR="00000000" w:rsidRPr="00000000">
            <w:rPr>
              <w:color w:val="666666"/>
              <w:sz w:val="16"/>
              <w:szCs w:val="16"/>
              <w:rtl w:val="0"/>
            </w:rPr>
            <w:t xml:space="preserve">info@femae.org</w:t>
          </w:r>
        </w:p>
        <w:p w:rsidR="00000000" w:rsidDel="00000000" w:rsidP="00000000" w:rsidRDefault="00000000" w:rsidRPr="00000000" w14:paraId="00000057">
          <w:pPr>
            <w:pageBreakBefore w:val="0"/>
            <w:spacing w:line="276" w:lineRule="auto"/>
            <w:rPr>
              <w:color w:val="666666"/>
              <w:sz w:val="16"/>
              <w:szCs w:val="16"/>
            </w:rPr>
          </w:pPr>
          <w:r w:rsidDel="00000000" w:rsidR="00000000" w:rsidRPr="00000000">
            <w:rPr>
              <w:color w:val="666666"/>
              <w:sz w:val="16"/>
              <w:szCs w:val="16"/>
              <w:rtl w:val="0"/>
            </w:rPr>
            <w:t xml:space="preserve">+34 693 872 599</w:t>
          </w:r>
        </w:p>
        <w:p w:rsidR="00000000" w:rsidDel="00000000" w:rsidP="00000000" w:rsidRDefault="00000000" w:rsidRPr="00000000" w14:paraId="00000058">
          <w:pPr>
            <w:pageBreakBefore w:val="0"/>
            <w:spacing w:line="276" w:lineRule="auto"/>
            <w:rPr>
              <w:color w:val="666666"/>
              <w:sz w:val="16"/>
              <w:szCs w:val="16"/>
            </w:rPr>
          </w:pPr>
          <w:r w:rsidDel="00000000" w:rsidR="00000000" w:rsidRPr="00000000">
            <w:rPr>
              <w:color w:val="666666"/>
              <w:sz w:val="16"/>
              <w:szCs w:val="16"/>
              <w:rtl w:val="0"/>
            </w:rPr>
            <w:t xml:space="preserve">@femaemurcia</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059">
          <w:pPr>
            <w:pageBreakBefore w:val="0"/>
            <w:spacing w:line="276" w:lineRule="auto"/>
            <w:rPr>
              <w:color w:val="666666"/>
              <w:sz w:val="16"/>
              <w:szCs w:val="16"/>
            </w:rPr>
          </w:pPr>
          <w:r w:rsidDel="00000000" w:rsidR="00000000" w:rsidRPr="00000000">
            <w:rPr>
              <w:color w:val="666666"/>
              <w:sz w:val="16"/>
              <w:szCs w:val="16"/>
              <w:rtl w:val="0"/>
            </w:rPr>
            <w:t xml:space="preserve">Centro Municipal La Nave</w:t>
          </w:r>
        </w:p>
        <w:p w:rsidR="00000000" w:rsidDel="00000000" w:rsidP="00000000" w:rsidRDefault="00000000" w:rsidRPr="00000000" w14:paraId="0000005A">
          <w:pPr>
            <w:pageBreakBefore w:val="0"/>
            <w:spacing w:line="276" w:lineRule="auto"/>
            <w:rPr>
              <w:color w:val="666666"/>
              <w:sz w:val="16"/>
              <w:szCs w:val="16"/>
            </w:rPr>
          </w:pPr>
          <w:r w:rsidDel="00000000" w:rsidR="00000000" w:rsidRPr="00000000">
            <w:rPr>
              <w:color w:val="666666"/>
              <w:sz w:val="16"/>
              <w:szCs w:val="16"/>
              <w:rtl w:val="0"/>
            </w:rPr>
            <w:t xml:space="preserve">Polígono Industrial Camposol</w:t>
          </w:r>
        </w:p>
        <w:p w:rsidR="00000000" w:rsidDel="00000000" w:rsidP="00000000" w:rsidRDefault="00000000" w:rsidRPr="00000000" w14:paraId="0000005B">
          <w:pPr>
            <w:pageBreakBefore w:val="0"/>
            <w:spacing w:line="276" w:lineRule="auto"/>
            <w:rPr>
              <w:color w:val="666666"/>
              <w:sz w:val="16"/>
              <w:szCs w:val="16"/>
            </w:rPr>
          </w:pPr>
          <w:r w:rsidDel="00000000" w:rsidR="00000000" w:rsidRPr="00000000">
            <w:rPr>
              <w:color w:val="666666"/>
              <w:sz w:val="16"/>
              <w:szCs w:val="16"/>
              <w:rtl w:val="0"/>
            </w:rPr>
            <w:t xml:space="preserve">Calle Mayor, 55</w:t>
          </w:r>
        </w:p>
        <w:p w:rsidR="00000000" w:rsidDel="00000000" w:rsidP="00000000" w:rsidRDefault="00000000" w:rsidRPr="00000000" w14:paraId="0000005C">
          <w:pPr>
            <w:pageBreakBefore w:val="0"/>
            <w:spacing w:line="276" w:lineRule="auto"/>
            <w:rPr>
              <w:color w:val="666666"/>
              <w:sz w:val="16"/>
              <w:szCs w:val="16"/>
            </w:rPr>
          </w:pPr>
          <w:r w:rsidDel="00000000" w:rsidR="00000000" w:rsidRPr="00000000">
            <w:rPr>
              <w:color w:val="666666"/>
              <w:sz w:val="16"/>
              <w:szCs w:val="16"/>
              <w:rtl w:val="0"/>
            </w:rPr>
            <w:t xml:space="preserve">30002, Murcia, Murcia</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sz w:val="16"/>
              <w:szCs w:val="16"/>
            </w:rPr>
          </w:pPr>
          <w:r w:rsidDel="00000000" w:rsidR="00000000" w:rsidRPr="00000000">
            <w:rPr>
              <w:sz w:val="16"/>
              <w:szCs w:val="16"/>
              <w:rtl w:val="0"/>
            </w:rPr>
            <w:t xml:space="preserve">Página </w:t>
          </w:r>
          <w:r w:rsidDel="00000000" w:rsidR="00000000" w:rsidRPr="00000000">
            <w:rPr>
              <w:sz w:val="16"/>
              <w:szCs w:val="16"/>
            </w:rPr>
            <w:fldChar w:fldCharType="begin"/>
            <w:instrText xml:space="preserve">PAGE</w:instrText>
            <w:fldChar w:fldCharType="separate"/>
            <w:fldChar w:fldCharType="end"/>
          </w:r>
          <w:r w:rsidDel="00000000" w:rsidR="00000000" w:rsidRPr="00000000">
            <w:rPr>
              <w:sz w:val="16"/>
              <w:szCs w:val="16"/>
              <w:rtl w:val="0"/>
            </w:rPr>
            <w:t xml:space="preserve"> de </w:t>
          </w:r>
          <w:r w:rsidDel="00000000" w:rsidR="00000000" w:rsidRPr="00000000">
            <w:rPr>
              <w:sz w:val="16"/>
              <w:szCs w:val="16"/>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5E">
    <w:pPr>
      <w:pageBreakBefore w:val="0"/>
      <w:spacing w:line="240" w:lineRule="auto"/>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F">
    <w:pPr>
      <w:pageBreakBefore w:val="0"/>
      <w:spacing w:line="240" w:lineRule="auto"/>
      <w:jc w:val="right"/>
      <w:rPr/>
    </w:pPr>
    <w:r w:rsidDel="00000000" w:rsidR="00000000" w:rsidRPr="00000000">
      <w:rPr>
        <w:rtl w:val="0"/>
      </w:rPr>
    </w:r>
  </w:p>
  <w:p w:rsidR="00000000" w:rsidDel="00000000" w:rsidP="00000000" w:rsidRDefault="00000000" w:rsidRPr="00000000" w14:paraId="00000060">
    <w:pPr>
      <w:pageBreakBefore w:val="0"/>
      <w:spacing w:line="240" w:lineRule="auto"/>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E">
    <w:pPr>
      <w:pageBreakBefore w:val="0"/>
      <w:spacing w:after="160" w:line="240" w:lineRule="auto"/>
      <w:rPr/>
    </w:pPr>
    <w:r w:rsidDel="00000000" w:rsidR="00000000" w:rsidRPr="00000000">
      <w:rPr>
        <w:rtl w:val="0"/>
      </w:rPr>
    </w:r>
  </w:p>
  <w:p w:rsidR="00000000" w:rsidDel="00000000" w:rsidP="00000000" w:rsidRDefault="00000000" w:rsidRPr="00000000" w14:paraId="0000004F">
    <w:pPr>
      <w:pageBreakBefore w:val="0"/>
      <w:spacing w:after="160" w:line="240" w:lineRule="auto"/>
      <w:rPr/>
    </w:pPr>
    <w:r w:rsidDel="00000000" w:rsidR="00000000" w:rsidRPr="00000000">
      <w:rPr/>
      <w:drawing>
        <wp:inline distB="114300" distT="114300" distL="114300" distR="114300">
          <wp:extent cx="1391664" cy="995363"/>
          <wp:effectExtent b="0" l="0" r="0" t="0"/>
          <wp:docPr id="1" name="image1.png"/>
          <a:graphic>
            <a:graphicData uri="http://schemas.openxmlformats.org/drawingml/2006/picture">
              <pic:pic>
                <pic:nvPicPr>
                  <pic:cNvPr id="0" name="image1.png"/>
                  <pic:cNvPicPr preferRelativeResize="0"/>
                </pic:nvPicPr>
                <pic:blipFill>
                  <a:blip r:embed="rId1"/>
                  <a:srcRect b="43267" l="30152" r="11495" t="14003"/>
                  <a:stretch>
                    <a:fillRect/>
                  </a:stretch>
                </pic:blipFill>
                <pic:spPr>
                  <a:xfrm>
                    <a:off x="0" y="0"/>
                    <a:ext cx="1391664" cy="995363"/>
                  </a:xfrm>
                  <a:prstGeom prst="rect"/>
                  <a:ln/>
                </pic:spPr>
              </pic:pic>
            </a:graphicData>
          </a:graphic>
        </wp:inline>
      </w:drawing>
    </w:r>
    <w:r w:rsidDel="00000000" w:rsidR="00000000" w:rsidRPr="00000000">
      <w:rPr/>
      <w:drawing>
        <wp:inline distB="114300" distT="114300" distL="114300" distR="114300">
          <wp:extent cx="1694588" cy="884832"/>
          <wp:effectExtent b="0" l="0" r="0" t="0"/>
          <wp:docPr id="4" name="image3.png"/>
          <a:graphic>
            <a:graphicData uri="http://schemas.openxmlformats.org/drawingml/2006/picture">
              <pic:pic>
                <pic:nvPicPr>
                  <pic:cNvPr id="0" name="image3.png"/>
                  <pic:cNvPicPr preferRelativeResize="0"/>
                </pic:nvPicPr>
                <pic:blipFill>
                  <a:blip r:embed="rId2"/>
                  <a:srcRect b="18709" l="16449" r="15610" t="45806"/>
                  <a:stretch>
                    <a:fillRect/>
                  </a:stretch>
                </pic:blipFill>
                <pic:spPr>
                  <a:xfrm>
                    <a:off x="0" y="0"/>
                    <a:ext cx="1694588" cy="884832"/>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342900" cy="1004888"/>
          <wp:effectExtent b="0" l="0" r="0" t="0"/>
          <wp:docPr id="3" name="image1.png"/>
          <a:graphic>
            <a:graphicData uri="http://schemas.openxmlformats.org/drawingml/2006/picture">
              <pic:pic>
                <pic:nvPicPr>
                  <pic:cNvPr id="0" name="image1.png"/>
                  <pic:cNvPicPr preferRelativeResize="0"/>
                </pic:nvPicPr>
                <pic:blipFill>
                  <a:blip r:embed="rId1"/>
                  <a:srcRect b="46098" l="36388" r="54144" t="26404"/>
                  <a:stretch>
                    <a:fillRect/>
                  </a:stretch>
                </pic:blipFill>
                <pic:spPr>
                  <a:xfrm>
                    <a:off x="0" y="0"/>
                    <a:ext cx="342900" cy="1004888"/>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360" w:lineRule="auto"/>
    </w:pPr>
    <w:rPr>
      <w:rFonts w:ascii="Montserrat" w:cs="Montserrat" w:eastAsia="Montserrat" w:hAnsi="Montserrat"/>
      <w:sz w:val="28"/>
      <w:szCs w:val="28"/>
    </w:rPr>
  </w:style>
  <w:style w:type="paragraph" w:styleId="Heading2">
    <w:name w:val="heading 2"/>
    <w:basedOn w:val="Normal"/>
    <w:next w:val="Normal"/>
    <w:pPr>
      <w:keepNext w:val="1"/>
      <w:keepLines w:val="1"/>
      <w:pageBreakBefore w:val="0"/>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pPr>
    <w:rPr>
      <w:b w:val="1"/>
    </w:rPr>
  </w:style>
  <w:style w:type="paragraph" w:styleId="Heading3">
    <w:name w:val="heading 3"/>
    <w:basedOn w:val="Normal"/>
    <w:next w:val="Normal"/>
    <w:pPr>
      <w:keepNext w:val="1"/>
      <w:keepLines w:val="1"/>
      <w:pageBreakBefore w:val="0"/>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pPr>
    <w:rPr>
      <w:b w:val="1"/>
      <w:color w:val="666666"/>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lineRule="auto"/>
    </w:pPr>
    <w:rPr>
      <w:sz w:val="32"/>
      <w:szCs w:val="3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www.infosubvenciones.es"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